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3E803" w14:textId="77777777" w:rsidR="007618ED" w:rsidRPr="007618ED" w:rsidRDefault="007618ED" w:rsidP="007618ED">
      <w:pPr>
        <w:jc w:val="both"/>
        <w:rPr>
          <w:rFonts w:ascii="Raleigh BT" w:hAnsi="Raleigh BT"/>
          <w:b/>
          <w:bCs/>
        </w:rPr>
      </w:pPr>
      <w:r w:rsidRPr="007618ED">
        <w:rPr>
          <w:rFonts w:ascii="Raleigh BT" w:hAnsi="Raleigh BT"/>
          <w:b/>
          <w:bCs/>
        </w:rPr>
        <w:t>Convenios</w:t>
      </w:r>
    </w:p>
    <w:p w14:paraId="6B86EE2C" w14:textId="77777777" w:rsidR="007618ED" w:rsidRPr="007618ED" w:rsidRDefault="007618ED" w:rsidP="007618ED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7" w:history="1">
        <w:r w:rsidRPr="007618ED">
          <w:rPr>
            <w:rStyle w:val="Hipervnculo"/>
            <w:rFonts w:ascii="Raleigh BT" w:hAnsi="Raleigh BT"/>
            <w:b/>
            <w:bCs/>
          </w:rPr>
          <w:t>Buscador de convenios municipales</w:t>
        </w:r>
      </w:hyperlink>
    </w:p>
    <w:p w14:paraId="326BF0AB" w14:textId="77777777" w:rsidR="007618ED" w:rsidRPr="007618ED" w:rsidRDefault="007618ED" w:rsidP="007618ED">
      <w:pPr>
        <w:numPr>
          <w:ilvl w:val="0"/>
          <w:numId w:val="3"/>
        </w:numPr>
        <w:jc w:val="both"/>
        <w:rPr>
          <w:rFonts w:ascii="Raleigh BT" w:hAnsi="Raleigh BT"/>
        </w:rPr>
      </w:pPr>
      <w:r w:rsidRPr="007618ED">
        <w:rPr>
          <w:rFonts w:ascii="Raleigh BT" w:hAnsi="Raleigh BT"/>
        </w:rPr>
        <w:t>Convenio de Cooperación para el suministro de información tributaria para fines no tributarios con la Agencia Tributaria Canaria</w:t>
      </w:r>
    </w:p>
    <w:p w14:paraId="71FC8C23" w14:textId="77777777" w:rsidR="007618ED" w:rsidRPr="007618ED" w:rsidRDefault="007618ED" w:rsidP="007618ED">
      <w:pPr>
        <w:numPr>
          <w:ilvl w:val="1"/>
          <w:numId w:val="3"/>
        </w:numPr>
        <w:jc w:val="both"/>
        <w:rPr>
          <w:rFonts w:ascii="Raleigh BT" w:hAnsi="Raleigh BT"/>
        </w:rPr>
      </w:pPr>
      <w:hyperlink r:id="rId8" w:tgtFrame="_blank" w:history="1">
        <w:r w:rsidRPr="007618ED">
          <w:rPr>
            <w:rStyle w:val="Hipervnculo"/>
            <w:rFonts w:ascii="Raleigh BT" w:hAnsi="Raleigh BT"/>
          </w:rPr>
          <w:t>CONVENIO DE COOPERACIÓN PARA EL SUMINISTRO, POR PARTE DE LA AGENCIA TRIBUTARIA CANARIA AL AYUNTAMIENTO DE SAN CRISTÓBAL DE LA LAGUNA, DE INFORMACIÓN TRIBUTARIA PARA FINES NO TRIBUTARIOS.</w:t>
        </w:r>
      </w:hyperlink>
    </w:p>
    <w:p w14:paraId="00990784" w14:textId="77777777" w:rsidR="007618ED" w:rsidRPr="007618ED" w:rsidRDefault="007618ED" w:rsidP="007618ED">
      <w:pPr>
        <w:jc w:val="both"/>
        <w:rPr>
          <w:rFonts w:ascii="Raleigh BT" w:hAnsi="Raleigh BT"/>
          <w:b/>
          <w:bCs/>
        </w:rPr>
      </w:pPr>
      <w:r w:rsidRPr="007618ED">
        <w:rPr>
          <w:rFonts w:ascii="Raleigh BT" w:hAnsi="Raleigh BT"/>
          <w:b/>
          <w:bCs/>
        </w:rPr>
        <w:t>Encomiendas de gestión efectuadas</w:t>
      </w:r>
    </w:p>
    <w:p w14:paraId="09C1FC8B" w14:textId="77777777" w:rsidR="007618ED" w:rsidRPr="007618ED" w:rsidRDefault="007618ED" w:rsidP="007618ED">
      <w:pPr>
        <w:rPr>
          <w:rFonts w:ascii="Raleigh BT" w:hAnsi="Raleigh BT"/>
        </w:rPr>
      </w:pPr>
      <w:hyperlink r:id="rId9" w:history="1">
        <w:r w:rsidRPr="007618ED">
          <w:rPr>
            <w:rStyle w:val="Hipervnculo"/>
            <w:rFonts w:ascii="Raleigh BT" w:hAnsi="Raleigh BT"/>
          </w:rPr>
          <w:t>Entidad a la que se realiza la encomienda MUVISA</w:t>
        </w:r>
      </w:hyperlink>
      <w:r w:rsidRPr="007618ED">
        <w:rPr>
          <w:rFonts w:ascii="Raleigh BT" w:hAnsi="Raleigh BT"/>
        </w:rPr>
        <w:br/>
      </w:r>
      <w:hyperlink r:id="rId10" w:history="1">
        <w:r w:rsidRPr="007618ED">
          <w:rPr>
            <w:rStyle w:val="Hipervnculo"/>
            <w:rFonts w:ascii="Raleigh BT" w:hAnsi="Raleigh BT"/>
          </w:rPr>
          <w:t>Objeto y denominación de la encomienda</w:t>
        </w:r>
      </w:hyperlink>
      <w:r w:rsidRPr="007618ED">
        <w:rPr>
          <w:rFonts w:ascii="Raleigh BT" w:hAnsi="Raleigh BT"/>
        </w:rPr>
        <w:br/>
      </w:r>
      <w:hyperlink r:id="rId11" w:history="1">
        <w:r w:rsidRPr="007618ED">
          <w:rPr>
            <w:rStyle w:val="Hipervnculo"/>
            <w:rFonts w:ascii="Raleigh BT" w:hAnsi="Raleigh BT"/>
          </w:rPr>
          <w:t>Presupuesto de la encomienda</w:t>
        </w:r>
      </w:hyperlink>
      <w:r w:rsidRPr="007618ED">
        <w:rPr>
          <w:rFonts w:ascii="Raleigh BT" w:hAnsi="Raleigh BT"/>
        </w:rPr>
        <w:br/>
      </w:r>
      <w:hyperlink r:id="rId12" w:history="1">
        <w:r w:rsidRPr="007618ED">
          <w:rPr>
            <w:rStyle w:val="Hipervnculo"/>
            <w:rFonts w:ascii="Raleigh BT" w:hAnsi="Raleigh BT"/>
          </w:rPr>
          <w:t>Duración</w:t>
        </w:r>
      </w:hyperlink>
      <w:r w:rsidRPr="007618ED">
        <w:rPr>
          <w:rFonts w:ascii="Raleigh BT" w:hAnsi="Raleigh BT"/>
        </w:rPr>
        <w:br/>
      </w:r>
      <w:hyperlink r:id="rId13" w:history="1">
        <w:r w:rsidRPr="007618ED">
          <w:rPr>
            <w:rStyle w:val="Hipervnculo"/>
            <w:rFonts w:ascii="Raleigh BT" w:hAnsi="Raleigh BT"/>
          </w:rPr>
          <w:t>Obligaciones económicas</w:t>
        </w:r>
      </w:hyperlink>
      <w:r w:rsidRPr="007618ED">
        <w:rPr>
          <w:rFonts w:ascii="Raleigh BT" w:hAnsi="Raleigh BT"/>
        </w:rPr>
        <w:br/>
      </w:r>
      <w:hyperlink r:id="rId14" w:history="1">
        <w:r w:rsidRPr="007618ED">
          <w:rPr>
            <w:rStyle w:val="Hipervnculo"/>
            <w:rFonts w:ascii="Raleigh BT" w:hAnsi="Raleigh BT"/>
          </w:rPr>
          <w:t>Tarifas o precios fijados</w:t>
        </w:r>
      </w:hyperlink>
      <w:r w:rsidRPr="007618ED">
        <w:rPr>
          <w:rFonts w:ascii="Raleigh BT" w:hAnsi="Raleigh BT"/>
        </w:rPr>
        <w:br/>
      </w:r>
      <w:hyperlink r:id="rId15" w:history="1">
        <w:r w:rsidRPr="007618ED">
          <w:rPr>
            <w:rStyle w:val="Hipervnculo"/>
            <w:rFonts w:ascii="Raleigh BT" w:hAnsi="Raleigh BT"/>
          </w:rPr>
          <w:t>Personas o entidades adjudicatarias de las subcontrataciones efectuadas</w:t>
        </w:r>
      </w:hyperlink>
      <w:r w:rsidRPr="007618ED">
        <w:rPr>
          <w:rFonts w:ascii="Raleigh BT" w:hAnsi="Raleigh BT"/>
        </w:rPr>
        <w:br/>
      </w:r>
      <w:hyperlink r:id="rId16" w:history="1">
        <w:r w:rsidRPr="007618ED">
          <w:rPr>
            <w:rStyle w:val="Hipervnculo"/>
            <w:rFonts w:ascii="Raleigh BT" w:hAnsi="Raleigh BT"/>
          </w:rPr>
          <w:t>Procedimiento seguido para las subcontrataciones efectuadas</w:t>
        </w:r>
      </w:hyperlink>
      <w:r w:rsidRPr="007618ED">
        <w:rPr>
          <w:rFonts w:ascii="Raleigh BT" w:hAnsi="Raleigh BT"/>
        </w:rPr>
        <w:br/>
      </w:r>
      <w:hyperlink r:id="rId17" w:history="1">
        <w:r w:rsidRPr="007618ED">
          <w:rPr>
            <w:rStyle w:val="Hipervnculo"/>
            <w:rFonts w:ascii="Raleigh BT" w:hAnsi="Raleigh BT"/>
          </w:rPr>
          <w:t>Importe de las adjudicaciones de las subcontrataciones efectuadas</w:t>
        </w:r>
      </w:hyperlink>
    </w:p>
    <w:p w14:paraId="18FADE4B" w14:textId="77777777" w:rsidR="00AF16BA" w:rsidRDefault="00AF16BA">
      <w:pPr>
        <w:jc w:val="both"/>
        <w:rPr>
          <w:rFonts w:ascii="Raleigh BT" w:hAnsi="Raleigh BT"/>
        </w:rPr>
      </w:pPr>
    </w:p>
    <w:sectPr w:rsidR="00AF16BA">
      <w:headerReference w:type="default" r:id="rId18"/>
      <w:headerReference w:type="first" r:id="rId19"/>
      <w:pgSz w:w="12240" w:h="15840"/>
      <w:pgMar w:top="1701" w:right="1134" w:bottom="1134" w:left="1701" w:header="357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AD603" w14:textId="77777777" w:rsidR="00D11828" w:rsidRDefault="00D11828">
      <w:pPr>
        <w:spacing w:after="0" w:line="240" w:lineRule="auto"/>
      </w:pPr>
      <w:r>
        <w:separator/>
      </w:r>
    </w:p>
  </w:endnote>
  <w:endnote w:type="continuationSeparator" w:id="0">
    <w:p w14:paraId="1D28D9AE" w14:textId="77777777" w:rsidR="00D11828" w:rsidRDefault="00D1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207DF" w14:textId="77777777" w:rsidR="00D11828" w:rsidRDefault="00D118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D4C8C1" w14:textId="77777777" w:rsidR="00D11828" w:rsidRDefault="00D1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6C30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56"/>
      <w:gridCol w:w="3780"/>
      <w:gridCol w:w="2156"/>
    </w:tblGrid>
    <w:tr w:rsidR="002E2F9A" w14:paraId="07844E50" w14:textId="77777777">
      <w:tblPrEx>
        <w:tblCellMar>
          <w:top w:w="0" w:type="dxa"/>
          <w:bottom w:w="0" w:type="dxa"/>
        </w:tblCellMar>
      </w:tblPrEx>
      <w:trPr>
        <w:trHeight w:val="1263"/>
      </w:trPr>
      <w:tc>
        <w:tcPr>
          <w:tcW w:w="3456" w:type="dxa"/>
          <w:vMerge w:val="restart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05548807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152E7DEB" wp14:editId="33A1684E">
                <wp:extent cx="1275716" cy="1187448"/>
                <wp:effectExtent l="0" t="0" r="634" b="0"/>
                <wp:docPr id="595148615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716" cy="1187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gridSpan w:val="2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16F31BF5" w14:textId="77777777" w:rsidR="00000000" w:rsidRDefault="00000000">
          <w:pPr>
            <w:autoSpaceDE w:val="0"/>
            <w:spacing w:after="0" w:line="240" w:lineRule="auto"/>
            <w:jc w:val="right"/>
            <w:rPr>
              <w:rFonts w:ascii="Raleigh BT" w:hAnsi="Raleigh BT"/>
              <w:b/>
              <w:sz w:val="20"/>
              <w:szCs w:val="20"/>
            </w:rPr>
          </w:pPr>
        </w:p>
      </w:tc>
    </w:tr>
    <w:tr w:rsidR="002E2F9A" w14:paraId="1DF47992" w14:textId="77777777">
      <w:tblPrEx>
        <w:tblCellMar>
          <w:top w:w="0" w:type="dxa"/>
          <w:bottom w:w="0" w:type="dxa"/>
        </w:tblCellMar>
      </w:tblPrEx>
      <w:trPr>
        <w:trHeight w:val="247"/>
      </w:trPr>
      <w:tc>
        <w:tcPr>
          <w:tcW w:w="3456" w:type="dxa"/>
          <w:vMerge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79BD1166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3780" w:type="dxa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</w:tcPr>
        <w:p w14:paraId="65517B0D" w14:textId="77777777" w:rsidR="00000000" w:rsidRDefault="00000000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422"/>
              <w:tab w:val="left" w:pos="8496"/>
              <w:tab w:val="left" w:pos="9204"/>
              <w:tab w:val="left" w:pos="9912"/>
            </w:tabs>
            <w:autoSpaceDE w:val="0"/>
            <w:ind w:right="232"/>
            <w:jc w:val="right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</w:tc>
      <w:tc>
        <w:tcPr>
          <w:tcW w:w="2156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</w:tcPr>
        <w:p w14:paraId="01EA8B73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-51"/>
            <w:jc w:val="right"/>
            <w:rPr>
              <w:rFonts w:ascii="Raleigh Lt BT" w:hAnsi="Raleigh Lt BT" w:cs="Raleigh Lt BT"/>
            </w:rPr>
          </w:pPr>
        </w:p>
      </w:tc>
    </w:tr>
  </w:tbl>
  <w:p w14:paraId="46E891C2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76028"/>
    <w:multiLevelType w:val="multilevel"/>
    <w:tmpl w:val="478E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B7818"/>
    <w:multiLevelType w:val="multilevel"/>
    <w:tmpl w:val="E952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463F1"/>
    <w:multiLevelType w:val="multilevel"/>
    <w:tmpl w:val="D8665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104161799">
    <w:abstractNumId w:val="2"/>
  </w:num>
  <w:num w:numId="2" w16cid:durableId="28340358">
    <w:abstractNumId w:val="1"/>
  </w:num>
  <w:num w:numId="3" w16cid:durableId="60431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attachedTemplate r:id="rId1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16BA"/>
    <w:rsid w:val="00380D4B"/>
    <w:rsid w:val="007618ED"/>
    <w:rsid w:val="00AF16BA"/>
    <w:rsid w:val="00D1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8367"/>
  <w15:docId w15:val="{5D2FE360-5A14-4C67-A297-BA721960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rPr>
      <w:rFonts w:ascii="Raleigh Lt BT" w:hAnsi="Raleigh Lt BT"/>
      <w:sz w:val="24"/>
      <w:lang w:val="es-ES_tradnl" w:eastAsia="es-ES" w:bidi="ar-SA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eastAsia="Calibri" w:hAnsi="Segoe UI" w:cs="Segoe UI"/>
      <w:sz w:val="18"/>
      <w:szCs w:val="18"/>
      <w:lang w:eastAsia="en-US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rFonts w:ascii="Calibri" w:eastAsia="Calibri" w:hAnsi="Calibri"/>
      <w:b/>
      <w:bCs/>
      <w:lang w:eastAsia="en-US"/>
    </w:rPr>
  </w:style>
  <w:style w:type="character" w:styleId="Hipervnculo">
    <w:name w:val="Hyperlink"/>
    <w:basedOn w:val="Fuentedeprrafopredeter"/>
    <w:rPr>
      <w:color w:val="467886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8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4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059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66159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63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7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5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718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3741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2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0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2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1845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803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61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5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4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0474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4022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6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CDN/files/ayuntamiento/.galleries/DOCUMENTOS-Convenios/CONVENIO_ACCESO_ATC_.pdf" TargetMode="External"/><Relationship Id="rId13" Type="http://schemas.openxmlformats.org/officeDocument/2006/relationships/hyperlink" Target="https://transparencia.muvisa.com/index.php/indicadores-ley-canaria-de-transparencia/convenios-y-encomiendas-de-gestio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ytolalaguna.es/ayuntamiento/normativas-municipales/convenios/" TargetMode="External"/><Relationship Id="rId12" Type="http://schemas.openxmlformats.org/officeDocument/2006/relationships/hyperlink" Target="https://transparencia.muvisa.com/index.php/40-transparencia-en-las-contrataciones-y-costes-de-los-servicios/2-contratos-y-convenios/convenios-y-encomiendas/encomiendas/117-encomiendas-2018" TargetMode="External"/><Relationship Id="rId17" Type="http://schemas.openxmlformats.org/officeDocument/2006/relationships/hyperlink" Target="https://transparencia.muvisa.com/index.php/indicadores-ley-canaria-de-transparencia/convenios-y-encomiendas-de-ges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parencia.muvisa.com/index.php/indicadores-ley-canaria-de-transparencia/convenios-y-encomiendas-de-gest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nsparencia.muvisa.com/index.php/indicadores-ley-canaria-de-transparencia/convenios-y-encomiendas-de-ges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nsparencia.muvisa.com/index.php/indicadores-ley-canaria-de-transparencia/convenios-y-encomiendas-de-gestion" TargetMode="External"/><Relationship Id="rId10" Type="http://schemas.openxmlformats.org/officeDocument/2006/relationships/hyperlink" Target="https://transparencia.muvisa.com/index.php/indicadores-ley-canaria-de-transparencia/convenios-y-encomiendas-de-gestio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uvisa.com/index.php/indicadores-ley-canaria-de-transparencia/convenios-y-encomiendas-de-gestion" TargetMode="External"/><Relationship Id="rId14" Type="http://schemas.openxmlformats.org/officeDocument/2006/relationships/hyperlink" Target="https://transparencia.muvisa.com/index.php/indicadores-ley-canaria-de-transparencia/convenios-y-encomiendas-de-ges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1921</Characters>
  <Application>Microsoft Office Word</Application>
  <DocSecurity>0</DocSecurity>
  <Lines>16</Lines>
  <Paragraphs>4</Paragraphs>
  <ScaleCrop>false</ScaleCrop>
  <Company>Ayto La Laguna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el expediente relativo al contrato de XSUMINISTRO/SERVICIO/OBRAXXX, adjudicado a  XXXXX (CIF WWWW) y, teniendo en cuenta que;</dc:title>
  <dc:subject/>
  <dc:creator>rpazper</dc:creator>
  <cp:lastModifiedBy>Moisés Marrero Salas</cp:lastModifiedBy>
  <cp:revision>2</cp:revision>
  <cp:lastPrinted>2025-04-09T10:50:00Z</cp:lastPrinted>
  <dcterms:created xsi:type="dcterms:W3CDTF">2025-04-09T16:16:00Z</dcterms:created>
  <dcterms:modified xsi:type="dcterms:W3CDTF">2025-04-09T16:16:00Z</dcterms:modified>
</cp:coreProperties>
</file>